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10" w:rsidRPr="00822D10" w:rsidRDefault="00822D10">
      <w:pPr>
        <w:rPr>
          <w:b/>
          <w:u w:val="single"/>
        </w:rPr>
      </w:pPr>
      <w:r w:rsidRPr="00822D10">
        <w:rPr>
          <w:b/>
          <w:u w:val="single"/>
        </w:rPr>
        <w:t>Hercules HC Node Specification</w:t>
      </w:r>
    </w:p>
    <w:p w:rsidR="00822D10" w:rsidRPr="00A24231" w:rsidRDefault="00822D10" w:rsidP="00822D10">
      <w:pPr>
        <w:pStyle w:val="BodyText"/>
        <w:jc w:val="left"/>
        <w:rPr>
          <w:rFonts w:asciiTheme="minorHAnsi" w:eastAsia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</w:rPr>
        <w:t xml:space="preserve">A </w:t>
      </w:r>
      <w:r w:rsidRPr="00A24231">
        <w:rPr>
          <w:rFonts w:asciiTheme="minorHAnsi" w:eastAsiaTheme="minorHAnsi" w:hAnsiTheme="minorHAnsi" w:cs="Arial"/>
          <w:sz w:val="22"/>
          <w:szCs w:val="22"/>
        </w:rPr>
        <w:t>Weldon V-MUX</w:t>
      </w:r>
      <w:r>
        <w:rPr>
          <w:rFonts w:asciiTheme="minorHAnsi" w:eastAsiaTheme="minorHAnsi" w:hAnsiTheme="minorHAnsi" w:cs="Arial"/>
          <w:sz w:val="22"/>
          <w:szCs w:val="22"/>
        </w:rPr>
        <w:t>®</w:t>
      </w:r>
      <w:r w:rsidRPr="00A24231">
        <w:rPr>
          <w:rFonts w:asciiTheme="minorHAnsi" w:eastAsiaTheme="minorHAnsi" w:hAnsiTheme="minorHAnsi" w:cs="Arial"/>
          <w:sz w:val="22"/>
          <w:szCs w:val="22"/>
        </w:rPr>
        <w:t xml:space="preserve"> style 6060 </w:t>
      </w:r>
      <w:proofErr w:type="spellStart"/>
      <w:r w:rsidRPr="00A24231">
        <w:rPr>
          <w:rFonts w:asciiTheme="minorHAnsi" w:eastAsiaTheme="minorHAnsi" w:hAnsiTheme="minorHAnsi" w:cs="Arial"/>
          <w:sz w:val="22"/>
          <w:szCs w:val="22"/>
        </w:rPr>
        <w:t>Input/Output</w:t>
      </w:r>
      <w:proofErr w:type="spellEnd"/>
      <w:r w:rsidRPr="00A24231">
        <w:rPr>
          <w:rFonts w:asciiTheme="minorHAnsi" w:eastAsiaTheme="minorHAnsi" w:hAnsiTheme="minorHAnsi" w:cs="Arial"/>
          <w:sz w:val="22"/>
          <w:szCs w:val="22"/>
        </w:rPr>
        <w:t xml:space="preserve"> "Hercules HC" Nodes shall be provided for the multiplexed electrical system; with a sealed to IP67 enclosure, sealed Deutsch connectors, (16) switch inputs, (4) analog sensor inputs, (32) output channels, dual A &amp; B V-MUX communication ports, dual CAN communication ports, and built in LED network status indicators . The Hercules node shall be capable of carrying up to 120 amps of load at high temperatures (85C), be field programmable via USB, and support on-board diagnostics. [Item #6060-0000-00]</w:t>
      </w:r>
    </w:p>
    <w:p w:rsidR="00822D10" w:rsidRDefault="00822D10">
      <w:bookmarkStart w:id="0" w:name="_GoBack"/>
      <w:bookmarkEnd w:id="0"/>
    </w:p>
    <w:sectPr w:rsidR="00822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10"/>
    <w:rsid w:val="00546925"/>
    <w:rsid w:val="0082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22D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822D10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22D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822D1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Lauffenburger</dc:creator>
  <cp:lastModifiedBy>Peter Lauffenburger</cp:lastModifiedBy>
  <cp:revision>1</cp:revision>
  <dcterms:created xsi:type="dcterms:W3CDTF">2015-05-04T14:55:00Z</dcterms:created>
  <dcterms:modified xsi:type="dcterms:W3CDTF">2015-05-04T14:56:00Z</dcterms:modified>
</cp:coreProperties>
</file>